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4460D" w14:textId="149D1C60" w:rsidR="00BC2F5A" w:rsidRDefault="00BC2F5A" w:rsidP="00BC2F5A">
      <w:pPr>
        <w:pStyle w:val="CH"/>
      </w:pPr>
      <w:bookmarkStart w:id="0" w:name="historyclause"/>
      <w:r w:rsidRPr="00B070F5">
        <w:t xml:space="preserve">3GPP </w:t>
      </w:r>
      <w:r w:rsidR="00BA79B9">
        <w:t xml:space="preserve">TSG </w:t>
      </w:r>
      <w:r w:rsidRPr="00B070F5">
        <w:t xml:space="preserve">RAN </w:t>
      </w:r>
      <w:r w:rsidR="006A532E">
        <w:t xml:space="preserve">WG4 </w:t>
      </w:r>
      <w:r w:rsidRPr="00B070F5">
        <w:t>Meeting #</w:t>
      </w:r>
      <w:r w:rsidR="006A532E">
        <w:t>1</w:t>
      </w:r>
      <w:r w:rsidR="0068533C">
        <w:t>10</w:t>
      </w:r>
      <w:r>
        <w:tab/>
      </w:r>
      <w:r>
        <w:tab/>
      </w:r>
      <w:r w:rsidR="00997726" w:rsidRPr="00997726">
        <w:t>R4-2402931</w:t>
      </w:r>
    </w:p>
    <w:p w14:paraId="50DC9730" w14:textId="7FF034B9" w:rsidR="00D309CC" w:rsidRPr="002F2CF6" w:rsidRDefault="0068533C" w:rsidP="00BC2F5A">
      <w:pPr>
        <w:pStyle w:val="CH"/>
        <w:tabs>
          <w:tab w:val="clear" w:pos="7920"/>
        </w:tabs>
        <w:rPr>
          <w:b w:val="0"/>
        </w:rPr>
      </w:pPr>
      <w:r>
        <w:t>Athens</w:t>
      </w:r>
      <w:r w:rsidR="00AF409A">
        <w:t xml:space="preserve">, </w:t>
      </w:r>
      <w:r>
        <w:t>Greece</w:t>
      </w:r>
      <w:r w:rsidR="000D7FB6">
        <w:t xml:space="preserve">, </w:t>
      </w:r>
      <w:r>
        <w:t>February</w:t>
      </w:r>
      <w:r w:rsidR="000D7FB6" w:rsidRPr="000D7FB6">
        <w:t xml:space="preserve"> </w:t>
      </w:r>
      <w:r>
        <w:t>26</w:t>
      </w:r>
      <w:r w:rsidR="000D7FB6" w:rsidRPr="000D7FB6">
        <w:t xml:space="preserve"> –</w:t>
      </w:r>
      <w:r w:rsidR="0063630D">
        <w:t xml:space="preserve"> </w:t>
      </w:r>
      <w:r>
        <w:t>March 1st</w:t>
      </w:r>
      <w:r w:rsidR="000D7FB6" w:rsidRPr="000D7FB6">
        <w:t>, 2023</w:t>
      </w:r>
      <w:r w:rsidR="00D46431" w:rsidRPr="002F2CF6">
        <w:tab/>
      </w:r>
    </w:p>
    <w:p w14:paraId="39A0EE25" w14:textId="77777777" w:rsidR="00D309CC" w:rsidRPr="002F2CF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62AD2953" w:rsidR="00D309CC" w:rsidRPr="002F2CF6" w:rsidRDefault="00D309CC" w:rsidP="00D309CC">
      <w:pPr>
        <w:pStyle w:val="CH"/>
        <w:rPr>
          <w:b w:val="0"/>
        </w:rPr>
      </w:pPr>
      <w:r w:rsidRPr="002F2CF6">
        <w:t>Agenda item:</w:t>
      </w:r>
      <w:r w:rsidRPr="002F2CF6">
        <w:tab/>
      </w:r>
      <w:r w:rsidR="00997726">
        <w:t>6.2.2.2</w:t>
      </w:r>
    </w:p>
    <w:p w14:paraId="4DBE005A" w14:textId="21E6BDFE" w:rsidR="00D309CC" w:rsidRPr="002F2CF6" w:rsidRDefault="00D309CC" w:rsidP="002E59AC">
      <w:pPr>
        <w:pStyle w:val="CH"/>
        <w:ind w:left="2268" w:hanging="2268"/>
        <w:rPr>
          <w:b w:val="0"/>
        </w:rPr>
      </w:pPr>
      <w:r w:rsidRPr="002F2CF6">
        <w:t>Source:</w:t>
      </w:r>
      <w:r w:rsidRPr="002F2CF6">
        <w:tab/>
      </w:r>
      <w:r w:rsidR="00067242" w:rsidRPr="00067242">
        <w:t xml:space="preserve">Inmarsat, Viasat, </w:t>
      </w:r>
      <w:proofErr w:type="spellStart"/>
      <w:r w:rsidR="00067242" w:rsidRPr="00067242">
        <w:t>Omnispace</w:t>
      </w:r>
      <w:proofErr w:type="spellEnd"/>
      <w:r w:rsidR="00067242" w:rsidRPr="00067242">
        <w:t xml:space="preserve">, </w:t>
      </w:r>
      <w:proofErr w:type="spellStart"/>
      <w:r w:rsidR="00067242" w:rsidRPr="00067242">
        <w:t>Terrestar</w:t>
      </w:r>
      <w:proofErr w:type="spellEnd"/>
      <w:r w:rsidR="00067242" w:rsidRPr="00067242">
        <w:t xml:space="preserve"> Solutions, Thuraya, </w:t>
      </w:r>
      <w:proofErr w:type="spellStart"/>
      <w:r w:rsidR="00067242" w:rsidRPr="00067242">
        <w:t>Ligado</w:t>
      </w:r>
      <w:proofErr w:type="spellEnd"/>
      <w:r w:rsidR="00067242" w:rsidRPr="00067242">
        <w:t xml:space="preserve"> Networks, Hughes/</w:t>
      </w:r>
      <w:proofErr w:type="spellStart"/>
      <w:r w:rsidR="00067242" w:rsidRPr="00067242">
        <w:t>Echostar</w:t>
      </w:r>
      <w:proofErr w:type="spellEnd"/>
      <w:r w:rsidR="00067242" w:rsidRPr="00067242">
        <w:t>, Thales</w:t>
      </w:r>
    </w:p>
    <w:p w14:paraId="0D2061A1" w14:textId="09218A65" w:rsidR="00D309CC" w:rsidRPr="002F2CF6" w:rsidRDefault="00D309CC" w:rsidP="00E54DB8">
      <w:pPr>
        <w:pStyle w:val="CH"/>
        <w:ind w:left="2268" w:hanging="2268"/>
      </w:pPr>
      <w:r w:rsidRPr="002F2CF6">
        <w:t>Title:</w:t>
      </w:r>
      <w:r w:rsidRPr="002F2CF6">
        <w:tab/>
      </w:r>
      <w:r w:rsidR="00FA1565" w:rsidRPr="00FA1565">
        <w:t>Motivation for In-band and guard-band NB-IoT NTN with NR</w:t>
      </w:r>
    </w:p>
    <w:p w14:paraId="5F82485A" w14:textId="000CAE6E" w:rsidR="00B36419" w:rsidRDefault="00B36419" w:rsidP="00D309CC">
      <w:pPr>
        <w:pStyle w:val="CH"/>
      </w:pPr>
      <w:r w:rsidRPr="00B63C83">
        <w:t>WI/SI:</w:t>
      </w:r>
      <w:r w:rsidRPr="00B63C83">
        <w:tab/>
      </w:r>
      <w:proofErr w:type="spellStart"/>
      <w:r w:rsidR="00997726" w:rsidRPr="00997726">
        <w:t>LTE_NBIoT_eMTC_NTN_req</w:t>
      </w:r>
      <w:proofErr w:type="spellEnd"/>
      <w:r w:rsidR="00997726" w:rsidRPr="00997726">
        <w:t>-Core</w:t>
      </w:r>
    </w:p>
    <w:p w14:paraId="3FFD491D" w14:textId="7FFD1174" w:rsidR="00253BAB" w:rsidRDefault="00253BAB" w:rsidP="00D309CC">
      <w:pPr>
        <w:pStyle w:val="CH"/>
      </w:pPr>
      <w:r>
        <w:t>Release:</w:t>
      </w:r>
      <w:r>
        <w:tab/>
        <w:t>Rel-1</w:t>
      </w:r>
      <w:r w:rsidR="00997726">
        <w:t>8</w:t>
      </w:r>
    </w:p>
    <w:p w14:paraId="2E4E044D" w14:textId="428C257A" w:rsidR="00D309CC" w:rsidRPr="002F2CF6" w:rsidRDefault="00D309CC" w:rsidP="00D309CC">
      <w:pPr>
        <w:pStyle w:val="CH"/>
      </w:pPr>
      <w:r w:rsidRPr="002F2CF6">
        <w:t>Document for:</w:t>
      </w:r>
      <w:r w:rsidRPr="002F2CF6">
        <w:tab/>
      </w:r>
      <w:r w:rsidR="00BA79B9">
        <w:t>Decision</w:t>
      </w:r>
    </w:p>
    <w:p w14:paraId="0207DB43" w14:textId="77777777" w:rsidR="00D46431" w:rsidRPr="002F2CF6" w:rsidRDefault="00D46431" w:rsidP="00D309CC">
      <w:pPr>
        <w:pStyle w:val="CH"/>
        <w:rPr>
          <w:b w:val="0"/>
        </w:rPr>
      </w:pPr>
    </w:p>
    <w:p w14:paraId="0273524A" w14:textId="77777777" w:rsidR="008E7986" w:rsidRPr="002F2CF6" w:rsidRDefault="008E7986" w:rsidP="008E7986">
      <w:pPr>
        <w:pStyle w:val="Heading1"/>
      </w:pPr>
      <w:r w:rsidRPr="002F2CF6">
        <w:t>1</w:t>
      </w:r>
      <w:r w:rsidRPr="002F2CF6">
        <w:tab/>
        <w:t xml:space="preserve">Introduction </w:t>
      </w:r>
    </w:p>
    <w:p w14:paraId="3D93B3E8" w14:textId="60C4E38D" w:rsidR="00C04447" w:rsidRDefault="00804FFD" w:rsidP="00997726">
      <w:r>
        <w:t>During Release 1</w:t>
      </w:r>
      <w:r w:rsidR="00997726">
        <w:t>8</w:t>
      </w:r>
      <w:r>
        <w:t xml:space="preserve">, core specifications for </w:t>
      </w:r>
      <w:r w:rsidR="00997726">
        <w:t xml:space="preserve">NB-IoT and </w:t>
      </w:r>
      <w:proofErr w:type="spellStart"/>
      <w:r w:rsidR="00997726">
        <w:t>eMTC</w:t>
      </w:r>
      <w:proofErr w:type="spellEnd"/>
      <w:r w:rsidR="00997726">
        <w:t xml:space="preserve"> NTN as part of </w:t>
      </w:r>
      <w:proofErr w:type="spellStart"/>
      <w:r w:rsidR="00C75FC1" w:rsidRPr="00C75FC1">
        <w:t>LTE_NBIoT_eMTC_NTN_req</w:t>
      </w:r>
      <w:proofErr w:type="spellEnd"/>
      <w:r w:rsidR="00C75FC1">
        <w:t xml:space="preserve"> WI, support for NB-IoT deployment was limited to Standalone only, however no blockers were identified to deployment in In-band and Guard-band mode with an NR NTN carrier, both of which are already supported for terrestrial deployments</w:t>
      </w:r>
      <w:r w:rsidR="002C1767">
        <w:t>.</w:t>
      </w:r>
    </w:p>
    <w:p w14:paraId="297C8EAE" w14:textId="466A6579" w:rsidR="00FF1941" w:rsidRPr="00A6171D" w:rsidRDefault="00C75FC1" w:rsidP="00E82213">
      <w:r>
        <w:t>There is a strong need from NTN operators to have the ability to deploy NB-IoT NTN in-band and in guard-band to NR NTN carriers in upcoming NTN systems</w:t>
      </w:r>
      <w:r w:rsidR="001B4644">
        <w:t>, and in parity with terrestrial systems.</w:t>
      </w:r>
    </w:p>
    <w:p w14:paraId="616CFC1D" w14:textId="550BB0CE" w:rsidR="00E3176F" w:rsidRDefault="00E3176F" w:rsidP="00E3176F">
      <w:pPr>
        <w:pStyle w:val="Heading1"/>
      </w:pPr>
      <w:r>
        <w:t>2</w:t>
      </w:r>
      <w:r>
        <w:tab/>
      </w:r>
      <w:r w:rsidR="00DA7830">
        <w:t>Discussion</w:t>
      </w:r>
      <w:r w:rsidR="006C708C">
        <w:t xml:space="preserve"> </w:t>
      </w:r>
    </w:p>
    <w:p w14:paraId="0464505C" w14:textId="4EC7DA08" w:rsidR="00260B2F" w:rsidRDefault="00C01375" w:rsidP="00B835B7">
      <w:bookmarkStart w:id="1" w:name="_Toc142656443"/>
      <w:bookmarkStart w:id="2" w:name="_Toc149658326"/>
      <w:bookmarkStart w:id="3" w:name="_Toc149659193"/>
      <w:bookmarkStart w:id="4" w:name="_Toc156924455"/>
      <w:r>
        <w:t xml:space="preserve">Support for In-band and guard-band deployments of NB-IoT allows </w:t>
      </w:r>
      <w:r w:rsidR="0014752B">
        <w:t xml:space="preserve">more efficient utilization of NR guard bands and </w:t>
      </w:r>
      <w:r w:rsidR="002A02AD">
        <w:t>easier support for mixed NR and NB-IoT services in scenarios with limited spectrum availability for dedicated stand-alone deployments.</w:t>
      </w:r>
    </w:p>
    <w:p w14:paraId="69E1DDB4" w14:textId="562401C6" w:rsidR="00BE67DE" w:rsidRDefault="00BE67DE" w:rsidP="00B835B7">
      <w:r>
        <w:t>This capability is already supported for terrestrial networks with E-UTRA/LTE carriers from Release-13 and with NR carriers from Release-16</w:t>
      </w:r>
      <w:r w:rsidR="001A1DF1">
        <w:t xml:space="preserve"> [1]</w:t>
      </w:r>
      <w:r>
        <w:t>.</w:t>
      </w:r>
    </w:p>
    <w:p w14:paraId="4C280C3A" w14:textId="3FE7B26A" w:rsidR="00BE67DE" w:rsidRPr="00BE67DE" w:rsidRDefault="00BE67DE" w:rsidP="00B835B7">
      <w:pPr>
        <w:rPr>
          <w:b/>
          <w:bCs/>
        </w:rPr>
      </w:pPr>
      <w:r>
        <w:rPr>
          <w:b/>
          <w:bCs/>
        </w:rPr>
        <w:t>Observation 1:</w:t>
      </w:r>
      <w:r>
        <w:t xml:space="preserve"> </w:t>
      </w:r>
      <w:r>
        <w:rPr>
          <w:b/>
          <w:bCs/>
        </w:rPr>
        <w:t>In-band and guard-band deployments of NB-IoT are already supported for terrestrial systems as of Release 16</w:t>
      </w:r>
    </w:p>
    <w:p w14:paraId="48F8D707" w14:textId="73C06A48" w:rsidR="00BE67DE" w:rsidRDefault="002A02AD" w:rsidP="00B835B7">
      <w:r>
        <w:t xml:space="preserve">In addition, </w:t>
      </w:r>
      <w:r w:rsidR="00AB2F91">
        <w:t>for NTN deployments supporting NR NTN, it is very likely that NB-IoT NTN will also be deployed from the same Satellite Access Nodes (SAN)</w:t>
      </w:r>
      <w:r w:rsidR="00BE67DE">
        <w:t xml:space="preserve"> in co-coverage, and </w:t>
      </w:r>
      <w:r w:rsidR="00186D4C">
        <w:t xml:space="preserve">potentially within the same combined </w:t>
      </w:r>
      <w:proofErr w:type="spellStart"/>
      <w:r w:rsidR="00186D4C">
        <w:t>eNB</w:t>
      </w:r>
      <w:proofErr w:type="spellEnd"/>
      <w:r w:rsidR="00186D4C">
        <w:t>/</w:t>
      </w:r>
      <w:proofErr w:type="spellStart"/>
      <w:r w:rsidR="00186D4C">
        <w:t>gNB</w:t>
      </w:r>
      <w:proofErr w:type="spellEnd"/>
      <w:r w:rsidR="00186D4C">
        <w:t xml:space="preserve"> on-ground or on-board</w:t>
      </w:r>
      <w:r w:rsidR="00BE67DE">
        <w:t>.</w:t>
      </w:r>
    </w:p>
    <w:p w14:paraId="003B80BE" w14:textId="38C4340F" w:rsidR="00186D4C" w:rsidRPr="00186D4C" w:rsidRDefault="00186D4C" w:rsidP="00B835B7">
      <w:pPr>
        <w:rPr>
          <w:b/>
          <w:bCs/>
        </w:rPr>
      </w:pPr>
      <w:r>
        <w:rPr>
          <w:b/>
          <w:bCs/>
        </w:rPr>
        <w:t>Observation 2: It is expected that for most upcoming NR NTN deployments, NB-IoT NTN will likely also be deployed from the same Satellite Access Node (SAN)</w:t>
      </w:r>
    </w:p>
    <w:p w14:paraId="01EB93CA" w14:textId="0BAAE28B" w:rsidR="001A1DF1" w:rsidRPr="001A1DF1" w:rsidRDefault="008F306F" w:rsidP="001A1DF1">
      <w:r>
        <w:t xml:space="preserve">Although initial NB-IoT NTN specification was focused on standalone deployment, primarily due to lack of time, there were no issues identified preventing such deployment and the current </w:t>
      </w:r>
      <w:r w:rsidR="001A1DF1">
        <w:t xml:space="preserve">parameters as specified for </w:t>
      </w:r>
      <w:r>
        <w:t>NB-IoT NTN</w:t>
      </w:r>
      <w:r w:rsidR="001A1DF1">
        <w:t xml:space="preserve"> in the specification, such as current </w:t>
      </w:r>
      <w:r w:rsidR="001A1DF1" w:rsidRPr="001A1DF1">
        <w:rPr>
          <w:bCs/>
        </w:rPr>
        <w:t>M</w:t>
      </w:r>
      <w:r w:rsidR="001A1DF1" w:rsidRPr="001A1DF1">
        <w:rPr>
          <w:bCs/>
          <w:vertAlign w:val="subscript"/>
        </w:rPr>
        <w:t>DL</w:t>
      </w:r>
      <w:r w:rsidR="001A1DF1" w:rsidRPr="001A1DF1">
        <w:rPr>
          <w:bCs/>
        </w:rPr>
        <w:t xml:space="preserve"> and M</w:t>
      </w:r>
      <w:r w:rsidR="001A1DF1" w:rsidRPr="001A1DF1">
        <w:rPr>
          <w:bCs/>
          <w:vertAlign w:val="subscript"/>
        </w:rPr>
        <w:t>UL</w:t>
      </w:r>
      <w:r w:rsidR="001A1DF1">
        <w:rPr>
          <w:b/>
          <w:vertAlign w:val="subscript"/>
        </w:rPr>
        <w:t xml:space="preserve"> </w:t>
      </w:r>
      <w:r w:rsidR="001A1DF1" w:rsidRPr="001A1DF1">
        <w:t xml:space="preserve">values </w:t>
      </w:r>
      <w:r w:rsidR="001A1DF1">
        <w:t>have been noted to be likely forward compatible with NR-NTN in-band deployment [2]</w:t>
      </w:r>
      <w:r w:rsidR="00AF6F89">
        <w:t>[3]</w:t>
      </w:r>
      <w:r w:rsidR="001A1DF1">
        <w:t>.</w:t>
      </w:r>
      <w:r w:rsidR="005744D8">
        <w:t xml:space="preserve"> Furthermore, there is </w:t>
      </w:r>
      <w:r w:rsidR="00AF6F89">
        <w:t xml:space="preserve">currently </w:t>
      </w:r>
      <w:r w:rsidR="005744D8">
        <w:t>no requirement for NB-IoT In-band and guard-band deployment within wideband E-UTRA carriers</w:t>
      </w:r>
      <w:r w:rsidR="00AF6F89">
        <w:t xml:space="preserve"> for NTN</w:t>
      </w:r>
      <w:r w:rsidR="005744D8">
        <w:t>.</w:t>
      </w:r>
    </w:p>
    <w:p w14:paraId="45915897" w14:textId="5BA12DC8" w:rsidR="001A1DF1" w:rsidRPr="009423AD" w:rsidRDefault="001A1DF1" w:rsidP="001A1DF1">
      <w:pPr>
        <w:rPr>
          <w:b/>
          <w:bCs/>
        </w:rPr>
      </w:pPr>
      <w:r>
        <w:rPr>
          <w:b/>
          <w:bCs/>
        </w:rPr>
        <w:t xml:space="preserve">Observation 3: The current </w:t>
      </w:r>
      <w:r w:rsidR="000A3C4D">
        <w:rPr>
          <w:b/>
        </w:rPr>
        <w:t>system parameters in</w:t>
      </w:r>
      <w:r>
        <w:rPr>
          <w:b/>
          <w:bCs/>
        </w:rPr>
        <w:t xml:space="preserve"> TS 36.102 </w:t>
      </w:r>
      <w:r>
        <w:rPr>
          <w:b/>
        </w:rPr>
        <w:t>should already be forward compatible with NR-NTN in-band deployment</w:t>
      </w:r>
      <w:r w:rsidR="00063DB9">
        <w:rPr>
          <w:b/>
        </w:rPr>
        <w:t>.</w:t>
      </w:r>
    </w:p>
    <w:p w14:paraId="116064EE" w14:textId="390E1CE4" w:rsidR="009423AD" w:rsidRPr="00F01A7D" w:rsidRDefault="001A1DF1" w:rsidP="00B835B7">
      <w:r>
        <w:t>In situations with</w:t>
      </w:r>
      <w:r w:rsidR="00F94F70" w:rsidRPr="00F01A7D">
        <w:t xml:space="preserve"> numerology mismatch between NB-IoT carrier and NR carrier, both for the case of NB-IoT with 3.75 kHz SCS in UL and for cases with NR SCS different from 15 kHz</w:t>
      </w:r>
      <w:r w:rsidR="009D7C52" w:rsidRPr="00F01A7D">
        <w:t xml:space="preserve">, </w:t>
      </w:r>
      <w:r w:rsidR="002775A8" w:rsidRPr="00F01A7D">
        <w:t>TR 37.824</w:t>
      </w:r>
      <w:r>
        <w:t xml:space="preserve"> already identified that</w:t>
      </w:r>
      <w:r w:rsidR="00F01A7D" w:rsidRPr="00F01A7D">
        <w:t>, s</w:t>
      </w:r>
      <w:r w:rsidR="009D7C52" w:rsidRPr="00F01A7D">
        <w:t xml:space="preserve">imilar as the mixed numerology in NR scenarios, no requirement </w:t>
      </w:r>
      <w:r>
        <w:t xml:space="preserve">need to be </w:t>
      </w:r>
      <w:r w:rsidR="00B53544">
        <w:t xml:space="preserve">specified and </w:t>
      </w:r>
      <w:r w:rsidR="00B53544" w:rsidRPr="00B53544">
        <w:t>th</w:t>
      </w:r>
      <w:r w:rsidR="00B53544">
        <w:t>ese scenarios</w:t>
      </w:r>
      <w:r w:rsidR="00B53544" w:rsidRPr="00B53544">
        <w:t xml:space="preserve"> should be up to the BS implementation</w:t>
      </w:r>
      <w:r w:rsidR="00B53544">
        <w:t xml:space="preserve"> [1].</w:t>
      </w:r>
    </w:p>
    <w:p w14:paraId="7BD0E5E9" w14:textId="56DDF586" w:rsidR="00F01A7D" w:rsidRDefault="00F01A7D" w:rsidP="00F01A7D">
      <w:pPr>
        <w:rPr>
          <w:b/>
          <w:bCs/>
        </w:rPr>
      </w:pPr>
      <w:r>
        <w:rPr>
          <w:b/>
          <w:bCs/>
        </w:rPr>
        <w:t xml:space="preserve">Observation </w:t>
      </w:r>
      <w:r w:rsidR="00B26914">
        <w:rPr>
          <w:b/>
          <w:bCs/>
        </w:rPr>
        <w:t>4</w:t>
      </w:r>
      <w:r>
        <w:rPr>
          <w:b/>
          <w:bCs/>
        </w:rPr>
        <w:t>: In TR 37.824, s</w:t>
      </w:r>
      <w:r w:rsidRPr="009D7C52">
        <w:rPr>
          <w:b/>
          <w:bCs/>
        </w:rPr>
        <w:t>imilar as the mixed numerology in NR scenarios, no requirement is defined for mixed numerology between NR and NB-IoT</w:t>
      </w:r>
    </w:p>
    <w:p w14:paraId="68C05E0D" w14:textId="77777777" w:rsidR="002F1B72" w:rsidRDefault="00D52808" w:rsidP="00B835B7">
      <w:r>
        <w:lastRenderedPageBreak/>
        <w:t xml:space="preserve">Lastly, as the UE are expected to perform Doppler pre-compensations to within a </w:t>
      </w:r>
      <w:r w:rsidR="002F1B72">
        <w:t>specified accuracy for both NR NTN and NB-IoT NTN, no NTN-specific issues in NR-NB-IoT coexistence have been identified.</w:t>
      </w:r>
    </w:p>
    <w:p w14:paraId="26B4A955" w14:textId="76DA962D" w:rsidR="00F01A7D" w:rsidRPr="00D52808" w:rsidRDefault="002F1B72" w:rsidP="00B835B7">
      <w:r>
        <w:t xml:space="preserve">Therefore, we propose that </w:t>
      </w:r>
      <w:r w:rsidR="00563BEB">
        <w:t>it should be clarified in the specification that NB-IoT NTN</w:t>
      </w:r>
      <w:r>
        <w:t xml:space="preserve"> </w:t>
      </w:r>
      <w:r w:rsidR="00563BEB">
        <w:t>in-band and guard-band deployment within NR NTN carriers can be supported in the spec, without any additional work required.</w:t>
      </w:r>
    </w:p>
    <w:p w14:paraId="0C720949" w14:textId="45C35423" w:rsidR="00A92C9A" w:rsidRDefault="00B835B7" w:rsidP="00B835B7">
      <w:pPr>
        <w:pStyle w:val="Proposal"/>
      </w:pPr>
      <w:r>
        <w:rPr>
          <w:bCs/>
        </w:rPr>
        <w:t xml:space="preserve">Proposal 1: </w:t>
      </w:r>
      <w:r w:rsidR="00B26914">
        <w:rPr>
          <w:bCs/>
        </w:rPr>
        <w:t>Enable</w:t>
      </w:r>
      <w:r w:rsidR="00974720">
        <w:rPr>
          <w:bCs/>
        </w:rPr>
        <w:t xml:space="preserve"> support for </w:t>
      </w:r>
      <w:r w:rsidR="002A4937">
        <w:rPr>
          <w:bCs/>
        </w:rPr>
        <w:t xml:space="preserve">NB-IoT </w:t>
      </w:r>
      <w:r w:rsidR="00563BEB">
        <w:rPr>
          <w:bCs/>
        </w:rPr>
        <w:t xml:space="preserve">NTN </w:t>
      </w:r>
      <w:r w:rsidR="002A4937">
        <w:rPr>
          <w:bCs/>
        </w:rPr>
        <w:t>in-band and guard-band deployment within NR NTN carriers</w:t>
      </w:r>
      <w:r w:rsidR="00A92C9A">
        <w:t>.</w:t>
      </w:r>
      <w:bookmarkEnd w:id="1"/>
      <w:bookmarkEnd w:id="2"/>
      <w:bookmarkEnd w:id="3"/>
      <w:bookmarkEnd w:id="4"/>
    </w:p>
    <w:p w14:paraId="0C897EC7" w14:textId="1A1C5158" w:rsidR="00304FE5" w:rsidRDefault="00304FE5" w:rsidP="00304FE5"/>
    <w:p w14:paraId="34C99636" w14:textId="74BCFD43" w:rsidR="008E7986" w:rsidRPr="00D20165" w:rsidRDefault="00906293" w:rsidP="008E7986">
      <w:pPr>
        <w:pStyle w:val="Heading1"/>
      </w:pPr>
      <w:r>
        <w:t>3</w:t>
      </w:r>
      <w:r w:rsidR="008E7986" w:rsidRPr="00D20165">
        <w:tab/>
        <w:t>Conclusions</w:t>
      </w:r>
    </w:p>
    <w:p w14:paraId="0F688224" w14:textId="77777777" w:rsidR="00B26914" w:rsidRPr="00BE67DE" w:rsidRDefault="00B26914" w:rsidP="00B26914">
      <w:pPr>
        <w:rPr>
          <w:b/>
          <w:bCs/>
        </w:rPr>
      </w:pPr>
      <w:r>
        <w:rPr>
          <w:b/>
          <w:bCs/>
        </w:rPr>
        <w:t>Observation 1:</w:t>
      </w:r>
      <w:r>
        <w:t xml:space="preserve"> </w:t>
      </w:r>
      <w:r>
        <w:rPr>
          <w:b/>
          <w:bCs/>
        </w:rPr>
        <w:t>In-band and guard-band deployments of NB-IoT are already supported for terrestrial systems as of Release 16</w:t>
      </w:r>
    </w:p>
    <w:p w14:paraId="3649B639" w14:textId="77777777" w:rsidR="00B26914" w:rsidRPr="00186D4C" w:rsidRDefault="00B26914" w:rsidP="00B26914">
      <w:pPr>
        <w:rPr>
          <w:b/>
          <w:bCs/>
        </w:rPr>
      </w:pPr>
      <w:r>
        <w:rPr>
          <w:b/>
          <w:bCs/>
        </w:rPr>
        <w:t>Observation 2: It is expected that for most upcoming NR NTN deployments, NB-IoT NTN will likely also be deployed from the same Satellite Access Node (SAN)</w:t>
      </w:r>
    </w:p>
    <w:p w14:paraId="5D01550E" w14:textId="23B1370F" w:rsidR="00B26914" w:rsidRPr="009423AD" w:rsidRDefault="00B26914" w:rsidP="00B26914">
      <w:pPr>
        <w:rPr>
          <w:b/>
          <w:bCs/>
        </w:rPr>
      </w:pPr>
      <w:r>
        <w:rPr>
          <w:b/>
          <w:bCs/>
        </w:rPr>
        <w:t xml:space="preserve">Observation 3: The current </w:t>
      </w:r>
      <w:r w:rsidR="000A3C4D">
        <w:rPr>
          <w:b/>
        </w:rPr>
        <w:t>system parameters</w:t>
      </w:r>
      <w:r>
        <w:rPr>
          <w:b/>
          <w:bCs/>
        </w:rPr>
        <w:t xml:space="preserve"> in TS 36.102 </w:t>
      </w:r>
      <w:r>
        <w:rPr>
          <w:b/>
        </w:rPr>
        <w:t>should already be forward compatible with NR-NTN in-band deployment.</w:t>
      </w:r>
    </w:p>
    <w:p w14:paraId="6A12CF04" w14:textId="77777777" w:rsidR="00B26914" w:rsidRDefault="00B26914" w:rsidP="00B26914">
      <w:pPr>
        <w:rPr>
          <w:b/>
          <w:bCs/>
        </w:rPr>
      </w:pPr>
      <w:r>
        <w:rPr>
          <w:b/>
          <w:bCs/>
        </w:rPr>
        <w:t>Observation 4: In TR 37.824, s</w:t>
      </w:r>
      <w:r w:rsidRPr="009D7C52">
        <w:rPr>
          <w:b/>
          <w:bCs/>
        </w:rPr>
        <w:t>imilar as the mixed numerology in NR scenarios, no requirement is defined for mixed numerology between NR and NB-IoT</w:t>
      </w:r>
    </w:p>
    <w:p w14:paraId="72C1C9D2" w14:textId="77777777" w:rsidR="00B26914" w:rsidRDefault="00B26914" w:rsidP="00A1676C">
      <w:pPr>
        <w:rPr>
          <w:b/>
          <w:bCs/>
        </w:rPr>
      </w:pPr>
    </w:p>
    <w:p w14:paraId="22AA0245" w14:textId="40D627CD" w:rsidR="00A1676C" w:rsidRPr="00691B2B" w:rsidRDefault="00F94F70" w:rsidP="00A1676C">
      <w:pPr>
        <w:rPr>
          <w:b/>
          <w:bCs/>
        </w:rPr>
      </w:pPr>
      <w:r w:rsidRPr="00F94F70">
        <w:rPr>
          <w:b/>
          <w:bCs/>
        </w:rPr>
        <w:t xml:space="preserve">Proposal 1: </w:t>
      </w:r>
      <w:r w:rsidR="00B26914">
        <w:rPr>
          <w:b/>
          <w:bCs/>
        </w:rPr>
        <w:t>Enable support for</w:t>
      </w:r>
      <w:r w:rsidRPr="00F94F70">
        <w:rPr>
          <w:b/>
          <w:bCs/>
        </w:rPr>
        <w:t xml:space="preserve"> NB-IoT in-band and guard-band deployment within NR NTN carriers</w:t>
      </w:r>
      <w:r w:rsidR="00B26914">
        <w:rPr>
          <w:b/>
          <w:bCs/>
        </w:rPr>
        <w:t>.</w:t>
      </w:r>
    </w:p>
    <w:p w14:paraId="41384D11" w14:textId="1C29D012" w:rsidR="005B3482" w:rsidRDefault="005B3482" w:rsidP="00FF1941"/>
    <w:p w14:paraId="02B1D225" w14:textId="77777777" w:rsidR="005B3482" w:rsidRDefault="005B3482">
      <w:pPr>
        <w:spacing w:after="0"/>
      </w:pPr>
      <w:r>
        <w:br w:type="page"/>
      </w:r>
    </w:p>
    <w:p w14:paraId="58F4A8EE" w14:textId="77777777" w:rsidR="00D45AB0" w:rsidRPr="006168D2" w:rsidRDefault="00D45AB0" w:rsidP="00FF1941"/>
    <w:bookmarkEnd w:id="0"/>
    <w:p w14:paraId="446075F6" w14:textId="408FF564" w:rsidR="001A4A9A" w:rsidRPr="00D20165" w:rsidRDefault="004F75AB" w:rsidP="001A4A9A">
      <w:pPr>
        <w:pStyle w:val="Heading1"/>
      </w:pPr>
      <w:r>
        <w:t>4</w:t>
      </w:r>
      <w:r w:rsidR="001A4A9A" w:rsidRPr="00D20165">
        <w:tab/>
        <w:t>References</w:t>
      </w:r>
    </w:p>
    <w:p w14:paraId="16CE70C9" w14:textId="64972B59" w:rsidR="0057389F" w:rsidRDefault="00214F9A" w:rsidP="00214F9A">
      <w:pPr>
        <w:pStyle w:val="EX"/>
      </w:pPr>
      <w:r>
        <w:t>TR 37.824</w:t>
      </w:r>
      <w:r w:rsidR="0045023B">
        <w:t xml:space="preserve"> </w:t>
      </w:r>
      <w:r w:rsidR="0045023B" w:rsidRPr="0045023B">
        <w:t>V16.0.0 (2020-06)</w:t>
      </w:r>
      <w:r>
        <w:t xml:space="preserve">; NR and </w:t>
      </w:r>
      <w:proofErr w:type="spellStart"/>
      <w:r>
        <w:t>E-UTRA;Coexistence</w:t>
      </w:r>
      <w:proofErr w:type="spellEnd"/>
      <w:r>
        <w:t xml:space="preserve"> between NB-IoT and NR  (Release 16)</w:t>
      </w:r>
    </w:p>
    <w:p w14:paraId="7623B71E" w14:textId="48596580" w:rsidR="00DD3956" w:rsidRDefault="00BE7929" w:rsidP="003529C5">
      <w:pPr>
        <w:pStyle w:val="EX"/>
      </w:pPr>
      <w:r w:rsidRPr="00BE7929">
        <w:t>R4-2220812</w:t>
      </w:r>
      <w:r w:rsidR="00DD3956">
        <w:t xml:space="preserve">; </w:t>
      </w:r>
      <w:r w:rsidR="00DD3956" w:rsidRPr="00DD3956">
        <w:t>TP on the channel number offset for NB-IoT NTN</w:t>
      </w:r>
      <w:r w:rsidR="00DD3956">
        <w:t xml:space="preserve"> (Huawei-</w:t>
      </w:r>
      <w:proofErr w:type="spellStart"/>
      <w:r w:rsidR="00DD3956">
        <w:t>Hisilicon</w:t>
      </w:r>
      <w:proofErr w:type="spellEnd"/>
      <w:r w:rsidR="00DD3956">
        <w:t>)</w:t>
      </w:r>
    </w:p>
    <w:p w14:paraId="2D4F0C9C" w14:textId="62FAF117" w:rsidR="00055E05" w:rsidRDefault="00055E05" w:rsidP="00A4133E">
      <w:pPr>
        <w:pStyle w:val="EX"/>
      </w:pPr>
      <w:r>
        <w:t xml:space="preserve">TS 36.102 </w:t>
      </w:r>
      <w:r w:rsidR="001931AA" w:rsidRPr="001931AA">
        <w:t>V18.4.0 (2023-12)</w:t>
      </w:r>
      <w:r w:rsidR="001931AA">
        <w:t xml:space="preserve">; </w:t>
      </w:r>
      <w:r w:rsidR="00A4133E">
        <w:t>Evolved Universal Terrestrial Radio Access (E-UTRA);</w:t>
      </w:r>
      <w:r w:rsidR="00A4133E">
        <w:t xml:space="preserve"> </w:t>
      </w:r>
      <w:r w:rsidR="00A4133E">
        <w:t>User Equipment (UE) radio transmission and reception for satellite access</w:t>
      </w:r>
      <w:r w:rsidR="00A4133E">
        <w:t xml:space="preserve"> </w:t>
      </w:r>
      <w:r w:rsidR="00A4133E">
        <w:t>(Release 18)</w:t>
      </w:r>
    </w:p>
    <w:sectPr w:rsidR="00055E05">
      <w:footerReference w:type="even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E10D0" w14:textId="77777777" w:rsidR="004E5A37" w:rsidRDefault="004E5A37">
      <w:r>
        <w:separator/>
      </w:r>
    </w:p>
  </w:endnote>
  <w:endnote w:type="continuationSeparator" w:id="0">
    <w:p w14:paraId="1A47D0A6" w14:textId="77777777" w:rsidR="004E5A37" w:rsidRDefault="004E5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13298" w14:textId="52F895ED" w:rsidR="00B4184A" w:rsidRDefault="00B4184A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259C92A5" wp14:editId="24740B4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708065026" name="Text Box 2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9D9B9F" w14:textId="7167D9AE" w:rsidR="00B4184A" w:rsidRPr="00B4184A" w:rsidRDefault="00B4184A" w:rsidP="00B4184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4184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9C92A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RESTRICTED | © INMARSAT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fill o:detectmouseclick="t"/>
              <v:textbox style="mso-fit-shape-to-text:t" inset="20pt,0,0,15pt">
                <w:txbxContent>
                  <w:p w14:paraId="189D9B9F" w14:textId="7167D9AE" w:rsidR="00B4184A" w:rsidRPr="00B4184A" w:rsidRDefault="00B4184A" w:rsidP="00B4184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B4184A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C0D8B" w14:textId="6EE2ECEA" w:rsidR="00B4184A" w:rsidRDefault="00B4184A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12A7B2FD" wp14:editId="373F3E3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700148717" name="Text Box 1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393093" w14:textId="24096ED7" w:rsidR="00B4184A" w:rsidRPr="00B4184A" w:rsidRDefault="00B4184A" w:rsidP="00B4184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4184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A7B2F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RESTRICTED | © INMARSAT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fill o:detectmouseclick="t"/>
              <v:textbox style="mso-fit-shape-to-text:t" inset="20pt,0,0,15pt">
                <w:txbxContent>
                  <w:p w14:paraId="63393093" w14:textId="24096ED7" w:rsidR="00B4184A" w:rsidRPr="00B4184A" w:rsidRDefault="00B4184A" w:rsidP="00B4184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B4184A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424D6" w14:textId="77777777" w:rsidR="004E5A37" w:rsidRDefault="004E5A37">
      <w:r>
        <w:separator/>
      </w:r>
    </w:p>
  </w:footnote>
  <w:footnote w:type="continuationSeparator" w:id="0">
    <w:p w14:paraId="061854C2" w14:textId="77777777" w:rsidR="004E5A37" w:rsidRDefault="004E5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AA1A21"/>
    <w:multiLevelType w:val="hybridMultilevel"/>
    <w:tmpl w:val="228E1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C4CB6"/>
    <w:multiLevelType w:val="hybridMultilevel"/>
    <w:tmpl w:val="6108D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6E1524"/>
    <w:multiLevelType w:val="hybridMultilevel"/>
    <w:tmpl w:val="5348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054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56913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8342712">
    <w:abstractNumId w:val="1"/>
  </w:num>
  <w:num w:numId="4" w16cid:durableId="128019357">
    <w:abstractNumId w:val="8"/>
  </w:num>
  <w:num w:numId="5" w16cid:durableId="413286706">
    <w:abstractNumId w:val="2"/>
  </w:num>
  <w:num w:numId="6" w16cid:durableId="2066759645">
    <w:abstractNumId w:val="2"/>
  </w:num>
  <w:num w:numId="7" w16cid:durableId="509299730">
    <w:abstractNumId w:val="6"/>
  </w:num>
  <w:num w:numId="8" w16cid:durableId="2028948267">
    <w:abstractNumId w:val="3"/>
  </w:num>
  <w:num w:numId="9" w16cid:durableId="308019900">
    <w:abstractNumId w:val="5"/>
  </w:num>
  <w:num w:numId="10" w16cid:durableId="1527866010">
    <w:abstractNumId w:val="2"/>
  </w:num>
  <w:num w:numId="11" w16cid:durableId="1401319407">
    <w:abstractNumId w:val="7"/>
  </w:num>
  <w:num w:numId="12" w16cid:durableId="10499139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3AE"/>
    <w:rsid w:val="00015E4F"/>
    <w:rsid w:val="000170BF"/>
    <w:rsid w:val="0002022A"/>
    <w:rsid w:val="000255A7"/>
    <w:rsid w:val="00025CDD"/>
    <w:rsid w:val="00033397"/>
    <w:rsid w:val="00040095"/>
    <w:rsid w:val="00043CEE"/>
    <w:rsid w:val="00045505"/>
    <w:rsid w:val="00051834"/>
    <w:rsid w:val="00052248"/>
    <w:rsid w:val="00054A22"/>
    <w:rsid w:val="00054AC7"/>
    <w:rsid w:val="00055B36"/>
    <w:rsid w:val="00055E05"/>
    <w:rsid w:val="00061E44"/>
    <w:rsid w:val="00062023"/>
    <w:rsid w:val="00063DB9"/>
    <w:rsid w:val="000655A6"/>
    <w:rsid w:val="00067242"/>
    <w:rsid w:val="000759ED"/>
    <w:rsid w:val="00080512"/>
    <w:rsid w:val="000837B8"/>
    <w:rsid w:val="00085860"/>
    <w:rsid w:val="00090CBC"/>
    <w:rsid w:val="0009701A"/>
    <w:rsid w:val="0009755D"/>
    <w:rsid w:val="00097BFB"/>
    <w:rsid w:val="000A2DD7"/>
    <w:rsid w:val="000A365D"/>
    <w:rsid w:val="000A3950"/>
    <w:rsid w:val="000A3ADF"/>
    <w:rsid w:val="000A3C4D"/>
    <w:rsid w:val="000A7649"/>
    <w:rsid w:val="000A7E3A"/>
    <w:rsid w:val="000B14F0"/>
    <w:rsid w:val="000B35AA"/>
    <w:rsid w:val="000C1674"/>
    <w:rsid w:val="000C47C3"/>
    <w:rsid w:val="000C5F64"/>
    <w:rsid w:val="000C7B5A"/>
    <w:rsid w:val="000D08CF"/>
    <w:rsid w:val="000D0F44"/>
    <w:rsid w:val="000D503E"/>
    <w:rsid w:val="000D58AB"/>
    <w:rsid w:val="000D7664"/>
    <w:rsid w:val="000D78F2"/>
    <w:rsid w:val="000D7FB6"/>
    <w:rsid w:val="000E021F"/>
    <w:rsid w:val="000E0FDF"/>
    <w:rsid w:val="000E5006"/>
    <w:rsid w:val="000E7E18"/>
    <w:rsid w:val="000E7E28"/>
    <w:rsid w:val="000F06B2"/>
    <w:rsid w:val="000F3A73"/>
    <w:rsid w:val="000F6B44"/>
    <w:rsid w:val="000F6DE5"/>
    <w:rsid w:val="000F7EA1"/>
    <w:rsid w:val="00104BC6"/>
    <w:rsid w:val="001070C5"/>
    <w:rsid w:val="00107896"/>
    <w:rsid w:val="001133AB"/>
    <w:rsid w:val="00114F66"/>
    <w:rsid w:val="001152D7"/>
    <w:rsid w:val="0012087C"/>
    <w:rsid w:val="00122B1F"/>
    <w:rsid w:val="00124FD7"/>
    <w:rsid w:val="0012647B"/>
    <w:rsid w:val="00133525"/>
    <w:rsid w:val="00136FA6"/>
    <w:rsid w:val="001420AD"/>
    <w:rsid w:val="00146EA0"/>
    <w:rsid w:val="0014752B"/>
    <w:rsid w:val="00147634"/>
    <w:rsid w:val="00152B26"/>
    <w:rsid w:val="001560B6"/>
    <w:rsid w:val="001579A6"/>
    <w:rsid w:val="00157FC7"/>
    <w:rsid w:val="00160F7D"/>
    <w:rsid w:val="00167289"/>
    <w:rsid w:val="00175489"/>
    <w:rsid w:val="00175496"/>
    <w:rsid w:val="001823BF"/>
    <w:rsid w:val="00186D4C"/>
    <w:rsid w:val="001931AA"/>
    <w:rsid w:val="00195DFD"/>
    <w:rsid w:val="00196EAF"/>
    <w:rsid w:val="0019748B"/>
    <w:rsid w:val="001A1590"/>
    <w:rsid w:val="001A1DF1"/>
    <w:rsid w:val="001A29F8"/>
    <w:rsid w:val="001A4A9A"/>
    <w:rsid w:val="001A4C42"/>
    <w:rsid w:val="001B4644"/>
    <w:rsid w:val="001B5160"/>
    <w:rsid w:val="001C1EC7"/>
    <w:rsid w:val="001C21C3"/>
    <w:rsid w:val="001C2419"/>
    <w:rsid w:val="001D02C2"/>
    <w:rsid w:val="001D7AB9"/>
    <w:rsid w:val="001E5972"/>
    <w:rsid w:val="001E7EB8"/>
    <w:rsid w:val="001F09CF"/>
    <w:rsid w:val="001F0C1D"/>
    <w:rsid w:val="001F1132"/>
    <w:rsid w:val="001F168B"/>
    <w:rsid w:val="001F3B0C"/>
    <w:rsid w:val="001F61DB"/>
    <w:rsid w:val="001F6FEF"/>
    <w:rsid w:val="00203C41"/>
    <w:rsid w:val="00206D85"/>
    <w:rsid w:val="00207D30"/>
    <w:rsid w:val="0021231E"/>
    <w:rsid w:val="00214F9A"/>
    <w:rsid w:val="0021586B"/>
    <w:rsid w:val="00220485"/>
    <w:rsid w:val="00222905"/>
    <w:rsid w:val="00223880"/>
    <w:rsid w:val="00227ABB"/>
    <w:rsid w:val="002315A5"/>
    <w:rsid w:val="00233CDA"/>
    <w:rsid w:val="002347A2"/>
    <w:rsid w:val="00240197"/>
    <w:rsid w:val="00243B9F"/>
    <w:rsid w:val="002450D8"/>
    <w:rsid w:val="00247926"/>
    <w:rsid w:val="002513AD"/>
    <w:rsid w:val="00253BAB"/>
    <w:rsid w:val="00260B2F"/>
    <w:rsid w:val="002675F0"/>
    <w:rsid w:val="00276EE4"/>
    <w:rsid w:val="002775A8"/>
    <w:rsid w:val="002954D8"/>
    <w:rsid w:val="002956C3"/>
    <w:rsid w:val="00295D6A"/>
    <w:rsid w:val="002A02AD"/>
    <w:rsid w:val="002A0F1F"/>
    <w:rsid w:val="002A4937"/>
    <w:rsid w:val="002A5E63"/>
    <w:rsid w:val="002B168B"/>
    <w:rsid w:val="002B42CA"/>
    <w:rsid w:val="002B4C3E"/>
    <w:rsid w:val="002B6339"/>
    <w:rsid w:val="002C1767"/>
    <w:rsid w:val="002C3DCF"/>
    <w:rsid w:val="002D12F5"/>
    <w:rsid w:val="002D366C"/>
    <w:rsid w:val="002E00EE"/>
    <w:rsid w:val="002E492A"/>
    <w:rsid w:val="002E59AC"/>
    <w:rsid w:val="002E6E67"/>
    <w:rsid w:val="002E7463"/>
    <w:rsid w:val="002F057E"/>
    <w:rsid w:val="002F1B72"/>
    <w:rsid w:val="002F2CF6"/>
    <w:rsid w:val="002F32C6"/>
    <w:rsid w:val="002F5F31"/>
    <w:rsid w:val="002F6CBC"/>
    <w:rsid w:val="002F7399"/>
    <w:rsid w:val="003036B6"/>
    <w:rsid w:val="00304FE5"/>
    <w:rsid w:val="00305217"/>
    <w:rsid w:val="0031034F"/>
    <w:rsid w:val="0031063C"/>
    <w:rsid w:val="00312AA9"/>
    <w:rsid w:val="00313552"/>
    <w:rsid w:val="003169F9"/>
    <w:rsid w:val="003172DC"/>
    <w:rsid w:val="00321796"/>
    <w:rsid w:val="00322FC7"/>
    <w:rsid w:val="00325ED4"/>
    <w:rsid w:val="0033276C"/>
    <w:rsid w:val="00335668"/>
    <w:rsid w:val="00336AC2"/>
    <w:rsid w:val="00337836"/>
    <w:rsid w:val="003448CA"/>
    <w:rsid w:val="003505A8"/>
    <w:rsid w:val="003529C5"/>
    <w:rsid w:val="0035462D"/>
    <w:rsid w:val="00356834"/>
    <w:rsid w:val="00360686"/>
    <w:rsid w:val="003631EB"/>
    <w:rsid w:val="00366A6D"/>
    <w:rsid w:val="003701AC"/>
    <w:rsid w:val="0037441D"/>
    <w:rsid w:val="003753AF"/>
    <w:rsid w:val="003765B8"/>
    <w:rsid w:val="0038066E"/>
    <w:rsid w:val="00381990"/>
    <w:rsid w:val="00390C9B"/>
    <w:rsid w:val="00394D23"/>
    <w:rsid w:val="00396185"/>
    <w:rsid w:val="003A0483"/>
    <w:rsid w:val="003A0D7C"/>
    <w:rsid w:val="003B2B5F"/>
    <w:rsid w:val="003C3971"/>
    <w:rsid w:val="003C564B"/>
    <w:rsid w:val="003D2F32"/>
    <w:rsid w:val="003D36FA"/>
    <w:rsid w:val="003E56CF"/>
    <w:rsid w:val="003E61E5"/>
    <w:rsid w:val="003E7753"/>
    <w:rsid w:val="003F1D6E"/>
    <w:rsid w:val="003F27D4"/>
    <w:rsid w:val="003F36E6"/>
    <w:rsid w:val="003F3BFB"/>
    <w:rsid w:val="003F7F27"/>
    <w:rsid w:val="00401B29"/>
    <w:rsid w:val="00413124"/>
    <w:rsid w:val="00420C77"/>
    <w:rsid w:val="00423334"/>
    <w:rsid w:val="004236CF"/>
    <w:rsid w:val="004267DF"/>
    <w:rsid w:val="004345EC"/>
    <w:rsid w:val="004459D8"/>
    <w:rsid w:val="0045023B"/>
    <w:rsid w:val="0045539B"/>
    <w:rsid w:val="0047076D"/>
    <w:rsid w:val="004720AB"/>
    <w:rsid w:val="00473A1A"/>
    <w:rsid w:val="00477138"/>
    <w:rsid w:val="004826A9"/>
    <w:rsid w:val="00482CA3"/>
    <w:rsid w:val="004875FD"/>
    <w:rsid w:val="004920F0"/>
    <w:rsid w:val="004A6B0A"/>
    <w:rsid w:val="004B2602"/>
    <w:rsid w:val="004B4AEA"/>
    <w:rsid w:val="004B5103"/>
    <w:rsid w:val="004B709D"/>
    <w:rsid w:val="004C1601"/>
    <w:rsid w:val="004C3223"/>
    <w:rsid w:val="004C6E0D"/>
    <w:rsid w:val="004D034A"/>
    <w:rsid w:val="004D3578"/>
    <w:rsid w:val="004D40A9"/>
    <w:rsid w:val="004E213A"/>
    <w:rsid w:val="004E2E28"/>
    <w:rsid w:val="004E5A37"/>
    <w:rsid w:val="004E6A20"/>
    <w:rsid w:val="004F0988"/>
    <w:rsid w:val="004F3340"/>
    <w:rsid w:val="004F3E3D"/>
    <w:rsid w:val="004F42AF"/>
    <w:rsid w:val="004F52F2"/>
    <w:rsid w:val="004F75AB"/>
    <w:rsid w:val="004F7AE1"/>
    <w:rsid w:val="005020AC"/>
    <w:rsid w:val="00503615"/>
    <w:rsid w:val="00504189"/>
    <w:rsid w:val="0050720F"/>
    <w:rsid w:val="00511ABB"/>
    <w:rsid w:val="00513289"/>
    <w:rsid w:val="005142DF"/>
    <w:rsid w:val="00521C56"/>
    <w:rsid w:val="00526C53"/>
    <w:rsid w:val="00526CFF"/>
    <w:rsid w:val="00527FCC"/>
    <w:rsid w:val="0053388B"/>
    <w:rsid w:val="00534718"/>
    <w:rsid w:val="0053575D"/>
    <w:rsid w:val="00535773"/>
    <w:rsid w:val="00537AB4"/>
    <w:rsid w:val="00543C44"/>
    <w:rsid w:val="00543E6C"/>
    <w:rsid w:val="00551FC5"/>
    <w:rsid w:val="00557A65"/>
    <w:rsid w:val="005610F6"/>
    <w:rsid w:val="005622EE"/>
    <w:rsid w:val="00563BEB"/>
    <w:rsid w:val="00565087"/>
    <w:rsid w:val="00566ED3"/>
    <w:rsid w:val="00570DD5"/>
    <w:rsid w:val="005721BB"/>
    <w:rsid w:val="00572E14"/>
    <w:rsid w:val="0057389F"/>
    <w:rsid w:val="005744D8"/>
    <w:rsid w:val="005771A9"/>
    <w:rsid w:val="00580798"/>
    <w:rsid w:val="00585697"/>
    <w:rsid w:val="005856CE"/>
    <w:rsid w:val="00593DA4"/>
    <w:rsid w:val="00596066"/>
    <w:rsid w:val="005973BE"/>
    <w:rsid w:val="005A2A38"/>
    <w:rsid w:val="005A2A65"/>
    <w:rsid w:val="005A3F5C"/>
    <w:rsid w:val="005A5986"/>
    <w:rsid w:val="005B0196"/>
    <w:rsid w:val="005B3482"/>
    <w:rsid w:val="005D2E01"/>
    <w:rsid w:val="005D7526"/>
    <w:rsid w:val="005E2535"/>
    <w:rsid w:val="005E69AE"/>
    <w:rsid w:val="005F4043"/>
    <w:rsid w:val="00600D5B"/>
    <w:rsid w:val="00602AEA"/>
    <w:rsid w:val="00607664"/>
    <w:rsid w:val="00607E3C"/>
    <w:rsid w:val="00610A37"/>
    <w:rsid w:val="00614FDF"/>
    <w:rsid w:val="006168D2"/>
    <w:rsid w:val="006246A7"/>
    <w:rsid w:val="0062595A"/>
    <w:rsid w:val="00632227"/>
    <w:rsid w:val="006337F2"/>
    <w:rsid w:val="00634730"/>
    <w:rsid w:val="0063543D"/>
    <w:rsid w:val="0063630D"/>
    <w:rsid w:val="00647114"/>
    <w:rsid w:val="00651308"/>
    <w:rsid w:val="00654D3E"/>
    <w:rsid w:val="00662404"/>
    <w:rsid w:val="006675E6"/>
    <w:rsid w:val="006704EC"/>
    <w:rsid w:val="006750D2"/>
    <w:rsid w:val="006777E8"/>
    <w:rsid w:val="006818C6"/>
    <w:rsid w:val="0068207C"/>
    <w:rsid w:val="0068362C"/>
    <w:rsid w:val="0068533C"/>
    <w:rsid w:val="00686C3D"/>
    <w:rsid w:val="0069226A"/>
    <w:rsid w:val="00692420"/>
    <w:rsid w:val="00695EB1"/>
    <w:rsid w:val="006A13A8"/>
    <w:rsid w:val="006A29FD"/>
    <w:rsid w:val="006A323F"/>
    <w:rsid w:val="006A532E"/>
    <w:rsid w:val="006A7E02"/>
    <w:rsid w:val="006B0669"/>
    <w:rsid w:val="006B30D0"/>
    <w:rsid w:val="006B7CA8"/>
    <w:rsid w:val="006C0661"/>
    <w:rsid w:val="006C3D95"/>
    <w:rsid w:val="006C43B4"/>
    <w:rsid w:val="006C4C0D"/>
    <w:rsid w:val="006C4C72"/>
    <w:rsid w:val="006C708C"/>
    <w:rsid w:val="006D43A6"/>
    <w:rsid w:val="006D489B"/>
    <w:rsid w:val="006D4C74"/>
    <w:rsid w:val="006D713E"/>
    <w:rsid w:val="006E0786"/>
    <w:rsid w:val="006E5C86"/>
    <w:rsid w:val="0070310A"/>
    <w:rsid w:val="007037D0"/>
    <w:rsid w:val="00713C44"/>
    <w:rsid w:val="00715490"/>
    <w:rsid w:val="00716FAD"/>
    <w:rsid w:val="00721F55"/>
    <w:rsid w:val="0072589B"/>
    <w:rsid w:val="007316B1"/>
    <w:rsid w:val="00732E98"/>
    <w:rsid w:val="007345D3"/>
    <w:rsid w:val="00734A5B"/>
    <w:rsid w:val="007368AE"/>
    <w:rsid w:val="00737DB9"/>
    <w:rsid w:val="0074026F"/>
    <w:rsid w:val="007429F6"/>
    <w:rsid w:val="00744C8E"/>
    <w:rsid w:val="00744E76"/>
    <w:rsid w:val="00752198"/>
    <w:rsid w:val="0075242E"/>
    <w:rsid w:val="00753881"/>
    <w:rsid w:val="00757095"/>
    <w:rsid w:val="00765D86"/>
    <w:rsid w:val="007713D4"/>
    <w:rsid w:val="00774DA4"/>
    <w:rsid w:val="00774F1E"/>
    <w:rsid w:val="00781A53"/>
    <w:rsid w:val="00781D07"/>
    <w:rsid w:val="00781F0F"/>
    <w:rsid w:val="00782965"/>
    <w:rsid w:val="0078318F"/>
    <w:rsid w:val="00785552"/>
    <w:rsid w:val="00786B9D"/>
    <w:rsid w:val="00792BC0"/>
    <w:rsid w:val="007A0324"/>
    <w:rsid w:val="007A10C0"/>
    <w:rsid w:val="007A4A7F"/>
    <w:rsid w:val="007A5AAB"/>
    <w:rsid w:val="007A634D"/>
    <w:rsid w:val="007B0461"/>
    <w:rsid w:val="007B600E"/>
    <w:rsid w:val="007C0A28"/>
    <w:rsid w:val="007C1DB3"/>
    <w:rsid w:val="007C24D1"/>
    <w:rsid w:val="007C2EB4"/>
    <w:rsid w:val="007C3B1A"/>
    <w:rsid w:val="007C3E62"/>
    <w:rsid w:val="007C413C"/>
    <w:rsid w:val="007C42E3"/>
    <w:rsid w:val="007D45C5"/>
    <w:rsid w:val="007D6D85"/>
    <w:rsid w:val="007E405D"/>
    <w:rsid w:val="007F0F4A"/>
    <w:rsid w:val="007F23A8"/>
    <w:rsid w:val="007F745E"/>
    <w:rsid w:val="008007D9"/>
    <w:rsid w:val="008028A4"/>
    <w:rsid w:val="00802901"/>
    <w:rsid w:val="00804FFD"/>
    <w:rsid w:val="0080674F"/>
    <w:rsid w:val="00806FDA"/>
    <w:rsid w:val="00820B25"/>
    <w:rsid w:val="008223AE"/>
    <w:rsid w:val="0082761D"/>
    <w:rsid w:val="00830747"/>
    <w:rsid w:val="0083282E"/>
    <w:rsid w:val="008334C0"/>
    <w:rsid w:val="0083621F"/>
    <w:rsid w:val="00840F50"/>
    <w:rsid w:val="00843D2B"/>
    <w:rsid w:val="00850B60"/>
    <w:rsid w:val="008605CF"/>
    <w:rsid w:val="00865DDB"/>
    <w:rsid w:val="008768CA"/>
    <w:rsid w:val="008851FB"/>
    <w:rsid w:val="008859D5"/>
    <w:rsid w:val="008929F3"/>
    <w:rsid w:val="008A087E"/>
    <w:rsid w:val="008A311D"/>
    <w:rsid w:val="008A3903"/>
    <w:rsid w:val="008B0466"/>
    <w:rsid w:val="008B4D9E"/>
    <w:rsid w:val="008C35F9"/>
    <w:rsid w:val="008C384C"/>
    <w:rsid w:val="008D158F"/>
    <w:rsid w:val="008D5675"/>
    <w:rsid w:val="008E1FF8"/>
    <w:rsid w:val="008E588D"/>
    <w:rsid w:val="008E7986"/>
    <w:rsid w:val="008F0727"/>
    <w:rsid w:val="008F306F"/>
    <w:rsid w:val="008F5168"/>
    <w:rsid w:val="008F6E93"/>
    <w:rsid w:val="00901C92"/>
    <w:rsid w:val="0090271F"/>
    <w:rsid w:val="00902E23"/>
    <w:rsid w:val="00906293"/>
    <w:rsid w:val="00906D6D"/>
    <w:rsid w:val="009114D7"/>
    <w:rsid w:val="009129FA"/>
    <w:rsid w:val="0091348E"/>
    <w:rsid w:val="00915525"/>
    <w:rsid w:val="00915BBD"/>
    <w:rsid w:val="00916BC2"/>
    <w:rsid w:val="00917CCB"/>
    <w:rsid w:val="00917F5A"/>
    <w:rsid w:val="009244B4"/>
    <w:rsid w:val="00926846"/>
    <w:rsid w:val="0094205B"/>
    <w:rsid w:val="009423AD"/>
    <w:rsid w:val="00942EC2"/>
    <w:rsid w:val="00943CED"/>
    <w:rsid w:val="009536FA"/>
    <w:rsid w:val="009557AC"/>
    <w:rsid w:val="0096068D"/>
    <w:rsid w:val="00962E01"/>
    <w:rsid w:val="00962ED2"/>
    <w:rsid w:val="00963494"/>
    <w:rsid w:val="00970A07"/>
    <w:rsid w:val="00970DA4"/>
    <w:rsid w:val="00972D6A"/>
    <w:rsid w:val="00973F6E"/>
    <w:rsid w:val="00974720"/>
    <w:rsid w:val="009826B3"/>
    <w:rsid w:val="00995497"/>
    <w:rsid w:val="00996113"/>
    <w:rsid w:val="00997281"/>
    <w:rsid w:val="00997726"/>
    <w:rsid w:val="009A2BFA"/>
    <w:rsid w:val="009A6DA8"/>
    <w:rsid w:val="009B5DCE"/>
    <w:rsid w:val="009B6825"/>
    <w:rsid w:val="009C4185"/>
    <w:rsid w:val="009C6B1C"/>
    <w:rsid w:val="009D0A44"/>
    <w:rsid w:val="009D2A34"/>
    <w:rsid w:val="009D7C52"/>
    <w:rsid w:val="009E3248"/>
    <w:rsid w:val="009E55FD"/>
    <w:rsid w:val="009E6E52"/>
    <w:rsid w:val="009F1642"/>
    <w:rsid w:val="009F37B7"/>
    <w:rsid w:val="009F5E43"/>
    <w:rsid w:val="009F6F20"/>
    <w:rsid w:val="00A026E5"/>
    <w:rsid w:val="00A1046F"/>
    <w:rsid w:val="00A10F02"/>
    <w:rsid w:val="00A11010"/>
    <w:rsid w:val="00A1575E"/>
    <w:rsid w:val="00A15927"/>
    <w:rsid w:val="00A164B4"/>
    <w:rsid w:val="00A1676C"/>
    <w:rsid w:val="00A16F12"/>
    <w:rsid w:val="00A178D5"/>
    <w:rsid w:val="00A2361B"/>
    <w:rsid w:val="00A26956"/>
    <w:rsid w:val="00A3047C"/>
    <w:rsid w:val="00A32AF0"/>
    <w:rsid w:val="00A4133E"/>
    <w:rsid w:val="00A42C78"/>
    <w:rsid w:val="00A52C69"/>
    <w:rsid w:val="00A53724"/>
    <w:rsid w:val="00A54A42"/>
    <w:rsid w:val="00A55310"/>
    <w:rsid w:val="00A6171D"/>
    <w:rsid w:val="00A62A0A"/>
    <w:rsid w:val="00A64F0B"/>
    <w:rsid w:val="00A70D9A"/>
    <w:rsid w:val="00A73129"/>
    <w:rsid w:val="00A75A83"/>
    <w:rsid w:val="00A7650B"/>
    <w:rsid w:val="00A82346"/>
    <w:rsid w:val="00A91741"/>
    <w:rsid w:val="00A92BA1"/>
    <w:rsid w:val="00A92C9A"/>
    <w:rsid w:val="00A930ED"/>
    <w:rsid w:val="00A95142"/>
    <w:rsid w:val="00A96AA9"/>
    <w:rsid w:val="00AA1168"/>
    <w:rsid w:val="00AA1B6B"/>
    <w:rsid w:val="00AB03E7"/>
    <w:rsid w:val="00AB2F91"/>
    <w:rsid w:val="00AB3A4B"/>
    <w:rsid w:val="00AB60EC"/>
    <w:rsid w:val="00AB6BDA"/>
    <w:rsid w:val="00AC062B"/>
    <w:rsid w:val="00AC6BC6"/>
    <w:rsid w:val="00AD081C"/>
    <w:rsid w:val="00AD3F96"/>
    <w:rsid w:val="00AE19D1"/>
    <w:rsid w:val="00AE27BF"/>
    <w:rsid w:val="00AE3797"/>
    <w:rsid w:val="00AF18DD"/>
    <w:rsid w:val="00AF409A"/>
    <w:rsid w:val="00AF46B1"/>
    <w:rsid w:val="00AF59C3"/>
    <w:rsid w:val="00AF6F89"/>
    <w:rsid w:val="00B00444"/>
    <w:rsid w:val="00B00F0D"/>
    <w:rsid w:val="00B03B5E"/>
    <w:rsid w:val="00B10CB9"/>
    <w:rsid w:val="00B15449"/>
    <w:rsid w:val="00B15D9A"/>
    <w:rsid w:val="00B16FC7"/>
    <w:rsid w:val="00B17447"/>
    <w:rsid w:val="00B23C75"/>
    <w:rsid w:val="00B26914"/>
    <w:rsid w:val="00B36419"/>
    <w:rsid w:val="00B417E6"/>
    <w:rsid w:val="00B4184A"/>
    <w:rsid w:val="00B43386"/>
    <w:rsid w:val="00B4513C"/>
    <w:rsid w:val="00B474C6"/>
    <w:rsid w:val="00B52D24"/>
    <w:rsid w:val="00B53544"/>
    <w:rsid w:val="00B53CFC"/>
    <w:rsid w:val="00B55820"/>
    <w:rsid w:val="00B61020"/>
    <w:rsid w:val="00B614BE"/>
    <w:rsid w:val="00B71A25"/>
    <w:rsid w:val="00B71A6E"/>
    <w:rsid w:val="00B81A14"/>
    <w:rsid w:val="00B835B7"/>
    <w:rsid w:val="00B90A04"/>
    <w:rsid w:val="00B90B81"/>
    <w:rsid w:val="00B920AD"/>
    <w:rsid w:val="00B92610"/>
    <w:rsid w:val="00B93086"/>
    <w:rsid w:val="00BA13F1"/>
    <w:rsid w:val="00BA19ED"/>
    <w:rsid w:val="00BA300B"/>
    <w:rsid w:val="00BA4499"/>
    <w:rsid w:val="00BA4B8D"/>
    <w:rsid w:val="00BA79B9"/>
    <w:rsid w:val="00BB17DC"/>
    <w:rsid w:val="00BB2F30"/>
    <w:rsid w:val="00BB38C0"/>
    <w:rsid w:val="00BB58B7"/>
    <w:rsid w:val="00BB6457"/>
    <w:rsid w:val="00BC0F7D"/>
    <w:rsid w:val="00BC2F5A"/>
    <w:rsid w:val="00BD1452"/>
    <w:rsid w:val="00BD5671"/>
    <w:rsid w:val="00BD71ED"/>
    <w:rsid w:val="00BE01C4"/>
    <w:rsid w:val="00BE2F2F"/>
    <w:rsid w:val="00BE3255"/>
    <w:rsid w:val="00BE448B"/>
    <w:rsid w:val="00BE67DE"/>
    <w:rsid w:val="00BE7929"/>
    <w:rsid w:val="00BF128E"/>
    <w:rsid w:val="00BF4565"/>
    <w:rsid w:val="00BF5887"/>
    <w:rsid w:val="00BF73CB"/>
    <w:rsid w:val="00BF7DD0"/>
    <w:rsid w:val="00C01375"/>
    <w:rsid w:val="00C03D00"/>
    <w:rsid w:val="00C04447"/>
    <w:rsid w:val="00C04AB4"/>
    <w:rsid w:val="00C04DBF"/>
    <w:rsid w:val="00C06E73"/>
    <w:rsid w:val="00C070EC"/>
    <w:rsid w:val="00C1496A"/>
    <w:rsid w:val="00C2684C"/>
    <w:rsid w:val="00C3012D"/>
    <w:rsid w:val="00C33079"/>
    <w:rsid w:val="00C3749B"/>
    <w:rsid w:val="00C45231"/>
    <w:rsid w:val="00C50543"/>
    <w:rsid w:val="00C50674"/>
    <w:rsid w:val="00C539B3"/>
    <w:rsid w:val="00C55651"/>
    <w:rsid w:val="00C652F7"/>
    <w:rsid w:val="00C660AB"/>
    <w:rsid w:val="00C72833"/>
    <w:rsid w:val="00C731FC"/>
    <w:rsid w:val="00C74791"/>
    <w:rsid w:val="00C75FC1"/>
    <w:rsid w:val="00C76D42"/>
    <w:rsid w:val="00C771F2"/>
    <w:rsid w:val="00C80F1D"/>
    <w:rsid w:val="00C82B04"/>
    <w:rsid w:val="00C93F40"/>
    <w:rsid w:val="00C962DE"/>
    <w:rsid w:val="00CA3D0C"/>
    <w:rsid w:val="00CA5F06"/>
    <w:rsid w:val="00CB0F39"/>
    <w:rsid w:val="00CB1B8A"/>
    <w:rsid w:val="00CB7FEA"/>
    <w:rsid w:val="00CC2205"/>
    <w:rsid w:val="00CC4603"/>
    <w:rsid w:val="00CD19CA"/>
    <w:rsid w:val="00CD4588"/>
    <w:rsid w:val="00CD4C1B"/>
    <w:rsid w:val="00CE2FAD"/>
    <w:rsid w:val="00CE6B42"/>
    <w:rsid w:val="00CF20E3"/>
    <w:rsid w:val="00CF3390"/>
    <w:rsid w:val="00CF6DC7"/>
    <w:rsid w:val="00CF7363"/>
    <w:rsid w:val="00D02DB5"/>
    <w:rsid w:val="00D11A8D"/>
    <w:rsid w:val="00D13BD1"/>
    <w:rsid w:val="00D1577A"/>
    <w:rsid w:val="00D17B45"/>
    <w:rsid w:val="00D20165"/>
    <w:rsid w:val="00D23FFF"/>
    <w:rsid w:val="00D309CC"/>
    <w:rsid w:val="00D343FF"/>
    <w:rsid w:val="00D376ED"/>
    <w:rsid w:val="00D433B6"/>
    <w:rsid w:val="00D4341D"/>
    <w:rsid w:val="00D45AB0"/>
    <w:rsid w:val="00D45EE8"/>
    <w:rsid w:val="00D46431"/>
    <w:rsid w:val="00D46F1F"/>
    <w:rsid w:val="00D47864"/>
    <w:rsid w:val="00D52808"/>
    <w:rsid w:val="00D53524"/>
    <w:rsid w:val="00D53F92"/>
    <w:rsid w:val="00D5534C"/>
    <w:rsid w:val="00D554AC"/>
    <w:rsid w:val="00D56A52"/>
    <w:rsid w:val="00D57972"/>
    <w:rsid w:val="00D579F1"/>
    <w:rsid w:val="00D675A9"/>
    <w:rsid w:val="00D738D6"/>
    <w:rsid w:val="00D741FE"/>
    <w:rsid w:val="00D755EB"/>
    <w:rsid w:val="00D83A08"/>
    <w:rsid w:val="00D87BDA"/>
    <w:rsid w:val="00D87E00"/>
    <w:rsid w:val="00D9134D"/>
    <w:rsid w:val="00D914EE"/>
    <w:rsid w:val="00D9475E"/>
    <w:rsid w:val="00DA2D8C"/>
    <w:rsid w:val="00DA72FC"/>
    <w:rsid w:val="00DA7830"/>
    <w:rsid w:val="00DA7A03"/>
    <w:rsid w:val="00DB1818"/>
    <w:rsid w:val="00DB3641"/>
    <w:rsid w:val="00DC0855"/>
    <w:rsid w:val="00DC309B"/>
    <w:rsid w:val="00DC4DA2"/>
    <w:rsid w:val="00DC4F54"/>
    <w:rsid w:val="00DD1E60"/>
    <w:rsid w:val="00DD31F9"/>
    <w:rsid w:val="00DD3956"/>
    <w:rsid w:val="00DD4C17"/>
    <w:rsid w:val="00DD768E"/>
    <w:rsid w:val="00DD7DBA"/>
    <w:rsid w:val="00DE0988"/>
    <w:rsid w:val="00DE3CDD"/>
    <w:rsid w:val="00DF2B1F"/>
    <w:rsid w:val="00DF2F1F"/>
    <w:rsid w:val="00DF4B8F"/>
    <w:rsid w:val="00DF6189"/>
    <w:rsid w:val="00DF62CD"/>
    <w:rsid w:val="00E00FED"/>
    <w:rsid w:val="00E03542"/>
    <w:rsid w:val="00E05F92"/>
    <w:rsid w:val="00E133F6"/>
    <w:rsid w:val="00E14152"/>
    <w:rsid w:val="00E16509"/>
    <w:rsid w:val="00E174D8"/>
    <w:rsid w:val="00E22308"/>
    <w:rsid w:val="00E25269"/>
    <w:rsid w:val="00E255F5"/>
    <w:rsid w:val="00E2616F"/>
    <w:rsid w:val="00E309BF"/>
    <w:rsid w:val="00E3104A"/>
    <w:rsid w:val="00E3176F"/>
    <w:rsid w:val="00E3192D"/>
    <w:rsid w:val="00E3300C"/>
    <w:rsid w:val="00E341B3"/>
    <w:rsid w:val="00E3450E"/>
    <w:rsid w:val="00E369B1"/>
    <w:rsid w:val="00E4295C"/>
    <w:rsid w:val="00E44582"/>
    <w:rsid w:val="00E4751A"/>
    <w:rsid w:val="00E50039"/>
    <w:rsid w:val="00E52814"/>
    <w:rsid w:val="00E54DB8"/>
    <w:rsid w:val="00E64FAA"/>
    <w:rsid w:val="00E65E13"/>
    <w:rsid w:val="00E66A0A"/>
    <w:rsid w:val="00E72324"/>
    <w:rsid w:val="00E72ABE"/>
    <w:rsid w:val="00E76A34"/>
    <w:rsid w:val="00E77645"/>
    <w:rsid w:val="00E82213"/>
    <w:rsid w:val="00E87FEF"/>
    <w:rsid w:val="00E90DAA"/>
    <w:rsid w:val="00E9717C"/>
    <w:rsid w:val="00EA0C19"/>
    <w:rsid w:val="00EA7CBD"/>
    <w:rsid w:val="00EB2999"/>
    <w:rsid w:val="00EB3710"/>
    <w:rsid w:val="00EB5B83"/>
    <w:rsid w:val="00EB6386"/>
    <w:rsid w:val="00EC1A01"/>
    <w:rsid w:val="00EC4A25"/>
    <w:rsid w:val="00ED77BD"/>
    <w:rsid w:val="00EE3D6E"/>
    <w:rsid w:val="00EE5618"/>
    <w:rsid w:val="00EE5AA7"/>
    <w:rsid w:val="00EE670D"/>
    <w:rsid w:val="00EF0EB0"/>
    <w:rsid w:val="00EF1E68"/>
    <w:rsid w:val="00EF4C60"/>
    <w:rsid w:val="00EF6E07"/>
    <w:rsid w:val="00F01A7D"/>
    <w:rsid w:val="00F025A2"/>
    <w:rsid w:val="00F04712"/>
    <w:rsid w:val="00F04A6F"/>
    <w:rsid w:val="00F04CE1"/>
    <w:rsid w:val="00F06D17"/>
    <w:rsid w:val="00F0730C"/>
    <w:rsid w:val="00F10E48"/>
    <w:rsid w:val="00F1670E"/>
    <w:rsid w:val="00F169DB"/>
    <w:rsid w:val="00F209F3"/>
    <w:rsid w:val="00F20E92"/>
    <w:rsid w:val="00F21311"/>
    <w:rsid w:val="00F22EC7"/>
    <w:rsid w:val="00F25C01"/>
    <w:rsid w:val="00F2605D"/>
    <w:rsid w:val="00F325C8"/>
    <w:rsid w:val="00F33B5F"/>
    <w:rsid w:val="00F3466B"/>
    <w:rsid w:val="00F405AD"/>
    <w:rsid w:val="00F406EA"/>
    <w:rsid w:val="00F46663"/>
    <w:rsid w:val="00F474CD"/>
    <w:rsid w:val="00F5250F"/>
    <w:rsid w:val="00F55388"/>
    <w:rsid w:val="00F555CF"/>
    <w:rsid w:val="00F60426"/>
    <w:rsid w:val="00F6213A"/>
    <w:rsid w:val="00F62449"/>
    <w:rsid w:val="00F62AEB"/>
    <w:rsid w:val="00F653B8"/>
    <w:rsid w:val="00F67EF5"/>
    <w:rsid w:val="00F70647"/>
    <w:rsid w:val="00F721C7"/>
    <w:rsid w:val="00F729E9"/>
    <w:rsid w:val="00F80897"/>
    <w:rsid w:val="00F84751"/>
    <w:rsid w:val="00F860DB"/>
    <w:rsid w:val="00F9029E"/>
    <w:rsid w:val="00F911E2"/>
    <w:rsid w:val="00F94F70"/>
    <w:rsid w:val="00F96730"/>
    <w:rsid w:val="00F97B58"/>
    <w:rsid w:val="00FA0712"/>
    <w:rsid w:val="00FA0D4A"/>
    <w:rsid w:val="00FA1266"/>
    <w:rsid w:val="00FA1565"/>
    <w:rsid w:val="00FA2236"/>
    <w:rsid w:val="00FA38D3"/>
    <w:rsid w:val="00FA5C0A"/>
    <w:rsid w:val="00FA7FEF"/>
    <w:rsid w:val="00FB0B78"/>
    <w:rsid w:val="00FB1B70"/>
    <w:rsid w:val="00FB31CA"/>
    <w:rsid w:val="00FB49CF"/>
    <w:rsid w:val="00FB5E7E"/>
    <w:rsid w:val="00FC1192"/>
    <w:rsid w:val="00FC4484"/>
    <w:rsid w:val="00FC50E1"/>
    <w:rsid w:val="00FD5D83"/>
    <w:rsid w:val="00FD6139"/>
    <w:rsid w:val="00FD7BE7"/>
    <w:rsid w:val="00FE44D7"/>
    <w:rsid w:val="00FE706A"/>
    <w:rsid w:val="00FE7528"/>
    <w:rsid w:val="00FE7E90"/>
    <w:rsid w:val="00FF1941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F525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0466"/>
    <w:pPr>
      <w:spacing w:before="100" w:beforeAutospacing="1" w:after="100" w:afterAutospacing="1"/>
    </w:pPr>
    <w:rPr>
      <w:rFonts w:eastAsiaTheme="minorEastAsia"/>
      <w:sz w:val="24"/>
      <w:szCs w:val="24"/>
      <w:lang w:val="de-DE"/>
    </w:rPr>
  </w:style>
  <w:style w:type="character" w:styleId="CommentReference">
    <w:name w:val="annotation reference"/>
    <w:basedOn w:val="DefaultParagraphFont"/>
    <w:rsid w:val="002F05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057E"/>
  </w:style>
  <w:style w:type="character" w:customStyle="1" w:styleId="CommentTextChar">
    <w:name w:val="Comment Text Char"/>
    <w:basedOn w:val="DefaultParagraphFont"/>
    <w:link w:val="CommentText"/>
    <w:rsid w:val="002F057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5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57E"/>
    <w:rPr>
      <w:b/>
      <w:bCs/>
      <w:lang w:eastAsia="en-US"/>
    </w:rPr>
  </w:style>
  <w:style w:type="table" w:customStyle="1" w:styleId="TableGrid2">
    <w:name w:val="Table Grid2"/>
    <w:basedOn w:val="TableNormal"/>
    <w:next w:val="TableGrid"/>
    <w:rsid w:val="000F7EA1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01B29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6A7E02"/>
    <w:pPr>
      <w:spacing w:after="200"/>
    </w:pPr>
    <w:rPr>
      <w:i/>
      <w:iCs/>
      <w:color w:val="44546A" w:themeColor="text2"/>
      <w:sz w:val="18"/>
      <w:szCs w:val="18"/>
    </w:rPr>
  </w:style>
  <w:style w:type="paragraph" w:styleId="List2">
    <w:name w:val="List 2"/>
    <w:basedOn w:val="List"/>
    <w:link w:val="List2Char"/>
    <w:rsid w:val="00B835B7"/>
    <w:pPr>
      <w:ind w:left="851" w:hanging="284"/>
      <w:contextualSpacing w:val="0"/>
    </w:pPr>
  </w:style>
  <w:style w:type="character" w:customStyle="1" w:styleId="List2Char">
    <w:name w:val="List 2 Char"/>
    <w:link w:val="List2"/>
    <w:rsid w:val="00B835B7"/>
    <w:rPr>
      <w:lang w:eastAsia="en-US"/>
    </w:rPr>
  </w:style>
  <w:style w:type="character" w:customStyle="1" w:styleId="THChar">
    <w:name w:val="TH Char"/>
    <w:link w:val="TH"/>
    <w:qFormat/>
    <w:rsid w:val="00B835B7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B835B7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B835B7"/>
    <w:rPr>
      <w:rFonts w:ascii="Arial" w:hAnsi="Arial"/>
      <w:sz w:val="18"/>
      <w:lang w:eastAsia="en-US"/>
    </w:rPr>
  </w:style>
  <w:style w:type="paragraph" w:styleId="List">
    <w:name w:val="List"/>
    <w:basedOn w:val="Normal"/>
    <w:rsid w:val="00B835B7"/>
    <w:pPr>
      <w:ind w:left="283" w:hanging="283"/>
      <w:contextualSpacing/>
    </w:pPr>
  </w:style>
  <w:style w:type="character" w:customStyle="1" w:styleId="TAHCar">
    <w:name w:val="TAH Car"/>
    <w:link w:val="TAH"/>
    <w:qFormat/>
    <w:rsid w:val="00BD145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F64E61-254E-4A53-8105-BE91678134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BACE7D-032A-1B4A-853D-CAF2C27992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A3EE05-81F4-4490-9611-5F10E48D2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681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4486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>Luca Lodigiani</cp:lastModifiedBy>
  <cp:revision>55</cp:revision>
  <cp:lastPrinted>2019-02-25T14:05:00Z</cp:lastPrinted>
  <dcterms:created xsi:type="dcterms:W3CDTF">2024-02-19T23:01:00Z</dcterms:created>
  <dcterms:modified xsi:type="dcterms:W3CDTF">2024-02-19T23:54:00Z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29bb6bed,65cf0102,92929dd</vt:lpwstr>
  </property>
  <property fmtid="{D5CDD505-2E9C-101B-9397-08002B2CF9AE}" pid="3" name="ClassificationContentMarkingFooterFontProps">
    <vt:lpwstr>#000000,7,Calibri</vt:lpwstr>
  </property>
  <property fmtid="{D5CDD505-2E9C-101B-9397-08002B2CF9AE}" pid="4" name="ClassificationContentMarkingFooterText">
    <vt:lpwstr>RESTRICTED | © INMARSAT</vt:lpwstr>
  </property>
</Properties>
</file>